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7894AC7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r w:rsidR="00463AB1" w:rsidRPr="00FA6793">
        <w:rPr>
          <w:rFonts w:ascii="Arial" w:hAnsi="Arial" w:cs="Arial"/>
          <w:sz w:val="22"/>
          <w:szCs w:val="22"/>
        </w:rPr>
        <w:t>care;</w:t>
      </w:r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 xml:space="preserve">their views are actively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sought</w:t>
      </w:r>
      <w:proofErr w:type="gramEnd"/>
      <w:r w:rsidR="00173C00" w:rsidRPr="00FA6793">
        <w:rPr>
          <w:rFonts w:ascii="Arial" w:hAnsi="Arial" w:cs="Arial"/>
          <w:sz w:val="22"/>
          <w:szCs w:val="22"/>
        </w:rPr>
        <w:t xml:space="preserve">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01677E77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463AB1">
        <w:rPr>
          <w:rFonts w:ascii="Arial" w:hAnsi="Arial" w:cs="Arial"/>
          <w:sz w:val="22"/>
          <w:szCs w:val="22"/>
        </w:rPr>
        <w:t xml:space="preserve"> and </w:t>
      </w:r>
      <w:r w:rsidR="00BF7790" w:rsidRPr="007831E5">
        <w:rPr>
          <w:rFonts w:ascii="Arial" w:hAnsi="Arial" w:cs="Arial"/>
          <w:sz w:val="22"/>
          <w:szCs w:val="22"/>
        </w:rPr>
        <w:t>they are greeted appropriately</w:t>
      </w:r>
      <w:r w:rsidR="00463AB1">
        <w:rPr>
          <w:rFonts w:ascii="Arial" w:hAnsi="Arial" w:cs="Arial"/>
          <w:sz w:val="22"/>
          <w:szCs w:val="22"/>
        </w:rPr>
        <w:t>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</w:t>
      </w:r>
      <w:r w:rsidRPr="007831E5">
        <w:rPr>
          <w:rFonts w:ascii="Arial" w:hAnsi="Arial" w:cs="Arial"/>
          <w:sz w:val="22"/>
          <w:szCs w:val="22"/>
        </w:rPr>
        <w:lastRenderedPageBreak/>
        <w:t xml:space="preserve">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6A2C0BB0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 xml:space="preserve">The setting </w:t>
      </w:r>
      <w:r w:rsidR="0078023E">
        <w:rPr>
          <w:rFonts w:ascii="Arial" w:hAnsi="Arial" w:cs="Arial"/>
          <w:sz w:val="22"/>
          <w:szCs w:val="22"/>
        </w:rPr>
        <w:t>supervisor</w:t>
      </w:r>
      <w:r w:rsidR="00B95282" w:rsidRPr="00C64033">
        <w:rPr>
          <w:rFonts w:ascii="Arial" w:hAnsi="Arial" w:cs="Arial"/>
          <w:sz w:val="22"/>
          <w:szCs w:val="22"/>
        </w:rPr>
        <w:t xml:space="preserve">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17B9" w14:textId="77777777" w:rsidR="007225B6" w:rsidRDefault="007225B6" w:rsidP="00202701">
      <w:r>
        <w:separator/>
      </w:r>
    </w:p>
  </w:endnote>
  <w:endnote w:type="continuationSeparator" w:id="0">
    <w:p w14:paraId="1317D4B2" w14:textId="77777777" w:rsidR="007225B6" w:rsidRDefault="007225B6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D5B2" w14:textId="77777777" w:rsidR="007225B6" w:rsidRDefault="007225B6" w:rsidP="00202701">
      <w:r>
        <w:separator/>
      </w:r>
    </w:p>
  </w:footnote>
  <w:footnote w:type="continuationSeparator" w:id="0">
    <w:p w14:paraId="095F083A" w14:textId="77777777" w:rsidR="007225B6" w:rsidRDefault="007225B6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63AB1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225B6"/>
    <w:rsid w:val="00735ED3"/>
    <w:rsid w:val="00742B67"/>
    <w:rsid w:val="0078023E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Sam GRADY</cp:lastModifiedBy>
  <cp:revision>4</cp:revision>
  <cp:lastPrinted>2011-08-21T11:18:00Z</cp:lastPrinted>
  <dcterms:created xsi:type="dcterms:W3CDTF">2021-07-21T15:38:00Z</dcterms:created>
  <dcterms:modified xsi:type="dcterms:W3CDTF">2021-09-22T18:59:00Z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